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7202C9">
      <w:pPr>
        <w:jc w:val="center"/>
        <w:rPr>
          <w:rFonts w:hint="eastAsia" w:ascii="方正小标宋_GBK" w:hAnsi="方正小标宋_GBK" w:eastAsia="方正小标宋_GBK" w:cs="方正小标宋_GBK"/>
          <w:sz w:val="44"/>
          <w:szCs w:val="44"/>
          <w:lang w:eastAsia="zh-CN"/>
        </w:rPr>
      </w:pPr>
      <w:bookmarkStart w:id="0" w:name="_GoBack"/>
      <w:bookmarkEnd w:id="0"/>
      <w:r>
        <w:rPr>
          <w:rFonts w:hint="eastAsia" w:ascii="方正小标宋_GBK" w:hAnsi="方正小标宋_GBK" w:eastAsia="方正小标宋_GBK" w:cs="方正小标宋_GBK"/>
          <w:sz w:val="44"/>
          <w:szCs w:val="44"/>
          <w:lang w:eastAsia="zh-CN"/>
        </w:rPr>
        <w:t>食品生产许可远程踏勘指引</w:t>
      </w:r>
    </w:p>
    <w:p w14:paraId="14A8D513">
      <w:pPr>
        <w:keepNext w:val="0"/>
        <w:keepLines w:val="0"/>
        <w:pageBreakBefore w:val="0"/>
        <w:widowControl w:val="0"/>
        <w:kinsoku/>
        <w:wordWrap/>
        <w:overflowPunct/>
        <w:topLinePunct w:val="0"/>
        <w:autoSpaceDE/>
        <w:autoSpaceDN/>
        <w:bidi w:val="0"/>
        <w:adjustRightInd/>
        <w:snapToGrid/>
        <w:textAlignment w:val="auto"/>
        <w:rPr>
          <w:rFonts w:hint="eastAsia" w:ascii="仿宋_GB2312" w:hAnsi="仿宋_GB2312" w:eastAsia="仿宋_GB2312" w:cs="仿宋_GB2312"/>
          <w:sz w:val="32"/>
          <w:szCs w:val="32"/>
          <w:lang w:eastAsia="zh-CN"/>
        </w:rPr>
      </w:pPr>
      <w:r>
        <w:rPr>
          <w:rFonts w:hint="eastAsia" w:ascii="方正黑体_GBK" w:hAnsi="方正黑体_GBK" w:eastAsia="方正黑体_GBK" w:cs="方正黑体_GBK"/>
          <w:sz w:val="32"/>
          <w:szCs w:val="32"/>
          <w:lang w:eastAsia="zh-CN"/>
        </w:rPr>
        <w:t>注：此指引仅做参考使用，如相关法律法规修订或调整的，应以最新规定为准</w:t>
      </w:r>
    </w:p>
    <w:p w14:paraId="4E88E27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核查组应根据《中华人民共和国食品安全法》、《食品生产许可管理办法》、《食品生产许可审查通则（2022版）》以及相应的审查细则开展踏勘。</w:t>
      </w:r>
    </w:p>
    <w:p w14:paraId="519112B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一、在生产场所方面</w:t>
      </w:r>
    </w:p>
    <w:p w14:paraId="74782FA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核查申请人提交的材料是否与现场一致，其生产场所周边和厂区环境、布局和各功能区划分、厂房及生产车间相关材质等是否符合有关规定和要求。申请人在生产场所外建立或者租用外设仓库的，应当承诺符合《食品、食品添加剂生产许可现场核查评分记录表》中关于库房的要求，并提供相关影像资料。必要时，核查组可以对外设仓库实施现场核查。</w:t>
      </w:r>
    </w:p>
    <w:p w14:paraId="5DD378C1">
      <w:pPr>
        <w:keepNext w:val="0"/>
        <w:keepLines w:val="0"/>
        <w:pageBreakBefore w:val="0"/>
        <w:widowControl w:val="0"/>
        <w:kinsoku/>
        <w:wordWrap/>
        <w:overflowPunct/>
        <w:topLinePunct w:val="0"/>
        <w:autoSpaceDE/>
        <w:autoSpaceDN/>
        <w:bidi w:val="0"/>
        <w:adjustRightInd/>
        <w:snapToGrid/>
        <w:jc w:val="both"/>
        <w:textAlignment w:val="auto"/>
        <w:rPr>
          <w:rFonts w:hint="eastAsia"/>
          <w:sz w:val="32"/>
          <w:szCs w:val="32"/>
          <w:lang w:eastAsia="zh-CN"/>
        </w:rPr>
      </w:pPr>
      <w:r>
        <w:rPr>
          <w:rFonts w:hint="eastAsia"/>
          <w:sz w:val="32"/>
          <w:szCs w:val="32"/>
          <w:lang w:eastAsia="zh-CN"/>
        </w:rPr>
        <w:drawing>
          <wp:inline distT="0" distB="0" distL="114300" distR="114300">
            <wp:extent cx="5157470" cy="3277870"/>
            <wp:effectExtent l="0" t="0" r="5080" b="17780"/>
            <wp:docPr id="6" name="图片 6" descr="车检布局图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车检布局图33"/>
                    <pic:cNvPicPr>
                      <a:picLocks noChangeAspect="1"/>
                    </pic:cNvPicPr>
                  </pic:nvPicPr>
                  <pic:blipFill>
                    <a:blip r:embed="rId5"/>
                    <a:stretch>
                      <a:fillRect/>
                    </a:stretch>
                  </pic:blipFill>
                  <pic:spPr>
                    <a:xfrm>
                      <a:off x="0" y="0"/>
                      <a:ext cx="5157470" cy="3277870"/>
                    </a:xfrm>
                    <a:prstGeom prst="rect">
                      <a:avLst/>
                    </a:prstGeom>
                  </pic:spPr>
                </pic:pic>
              </a:graphicData>
            </a:graphic>
          </wp:inline>
        </w:drawing>
      </w:r>
    </w:p>
    <w:p w14:paraId="066B8466">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二、在设备设施方面</w:t>
      </w:r>
    </w:p>
    <w:p w14:paraId="6AEF4E18">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核查申请人提交的生产设备设施清单是否与现场一致，生产设备设施材质、性能等是否符合规定并满足生产需要；申请人自行对原辅料及出厂产品进行检验的，是否具备审查细则规定的检验设备设施，性能和精度是否满足检验需要。</w:t>
      </w:r>
    </w:p>
    <w:p w14:paraId="211CF450">
      <w:pPr>
        <w:keepNext w:val="0"/>
        <w:keepLines w:val="0"/>
        <w:pageBreakBefore w:val="0"/>
        <w:widowControl w:val="0"/>
        <w:kinsoku/>
        <w:wordWrap/>
        <w:overflowPunct/>
        <w:topLinePunct w:val="0"/>
        <w:autoSpaceDE/>
        <w:autoSpaceDN/>
        <w:bidi w:val="0"/>
        <w:adjustRightInd/>
        <w:snapToGrid/>
        <w:textAlignment w:val="auto"/>
        <w:rPr>
          <w:rFonts w:hint="eastAsia"/>
          <w:sz w:val="32"/>
          <w:szCs w:val="32"/>
          <w:lang w:eastAsia="zh-CN"/>
        </w:rPr>
      </w:pPr>
      <w:r>
        <w:rPr>
          <w:rFonts w:hint="eastAsia"/>
          <w:sz w:val="32"/>
          <w:szCs w:val="32"/>
          <w:lang w:eastAsia="zh-CN"/>
        </w:rPr>
        <w:drawing>
          <wp:inline distT="0" distB="0" distL="114300" distR="114300">
            <wp:extent cx="5151120" cy="3947160"/>
            <wp:effectExtent l="0" t="0" r="11430" b="15240"/>
            <wp:docPr id="1" name="图片 1" descr="高压锅、夹层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高压锅、夹层锅"/>
                    <pic:cNvPicPr>
                      <a:picLocks noChangeAspect="1"/>
                    </pic:cNvPicPr>
                  </pic:nvPicPr>
                  <pic:blipFill>
                    <a:blip r:embed="rId6"/>
                    <a:stretch>
                      <a:fillRect/>
                    </a:stretch>
                  </pic:blipFill>
                  <pic:spPr>
                    <a:xfrm>
                      <a:off x="0" y="0"/>
                      <a:ext cx="5151120" cy="3947160"/>
                    </a:xfrm>
                    <a:prstGeom prst="rect">
                      <a:avLst/>
                    </a:prstGeom>
                  </pic:spPr>
                </pic:pic>
              </a:graphicData>
            </a:graphic>
          </wp:inline>
        </w:drawing>
      </w:r>
    </w:p>
    <w:p w14:paraId="61A7E597">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sz w:val="32"/>
          <w:szCs w:val="32"/>
          <w:lang w:eastAsia="zh-CN"/>
        </w:rPr>
      </w:pPr>
      <w:r>
        <w:rPr>
          <w:rFonts w:hint="eastAsia"/>
          <w:sz w:val="32"/>
          <w:szCs w:val="32"/>
          <w:lang w:eastAsia="zh-CN"/>
        </w:rPr>
        <w:drawing>
          <wp:inline distT="0" distB="0" distL="114300" distR="114300">
            <wp:extent cx="4874260" cy="3947160"/>
            <wp:effectExtent l="0" t="0" r="2540" b="0"/>
            <wp:docPr id="2" name="图片 2" descr="显微镜、天平、旋转蒸发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显微镜、天平、旋转蒸发器"/>
                    <pic:cNvPicPr>
                      <a:picLocks noChangeAspect="1"/>
                    </pic:cNvPicPr>
                  </pic:nvPicPr>
                  <pic:blipFill>
                    <a:blip r:embed="rId7"/>
                    <a:stretch>
                      <a:fillRect/>
                    </a:stretch>
                  </pic:blipFill>
                  <pic:spPr>
                    <a:xfrm>
                      <a:off x="0" y="0"/>
                      <a:ext cx="4874260" cy="3947160"/>
                    </a:xfrm>
                    <a:prstGeom prst="rect">
                      <a:avLst/>
                    </a:prstGeom>
                  </pic:spPr>
                </pic:pic>
              </a:graphicData>
            </a:graphic>
          </wp:inline>
        </w:drawing>
      </w:r>
    </w:p>
    <w:p w14:paraId="2AB7E628">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sz w:val="32"/>
          <w:szCs w:val="32"/>
          <w:lang w:eastAsia="zh-CN"/>
        </w:rPr>
      </w:pPr>
      <w:r>
        <w:rPr>
          <w:rFonts w:hint="eastAsia"/>
          <w:sz w:val="32"/>
          <w:szCs w:val="32"/>
          <w:lang w:eastAsia="zh-CN"/>
        </w:rPr>
        <w:drawing>
          <wp:inline distT="0" distB="0" distL="114300" distR="114300">
            <wp:extent cx="4703445" cy="3547745"/>
            <wp:effectExtent l="0" t="0" r="5715" b="3175"/>
            <wp:docPr id="3" name="图片 3" descr="电热恒温培养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电热恒温培养箱"/>
                    <pic:cNvPicPr>
                      <a:picLocks noChangeAspect="1"/>
                    </pic:cNvPicPr>
                  </pic:nvPicPr>
                  <pic:blipFill>
                    <a:blip r:embed="rId8"/>
                    <a:stretch>
                      <a:fillRect/>
                    </a:stretch>
                  </pic:blipFill>
                  <pic:spPr>
                    <a:xfrm>
                      <a:off x="0" y="0"/>
                      <a:ext cx="4703445" cy="3547745"/>
                    </a:xfrm>
                    <a:prstGeom prst="rect">
                      <a:avLst/>
                    </a:prstGeom>
                  </pic:spPr>
                </pic:pic>
              </a:graphicData>
            </a:graphic>
          </wp:inline>
        </w:drawing>
      </w:r>
    </w:p>
    <w:p w14:paraId="422CC539">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三、在设备布局和工艺流程方面</w:t>
      </w:r>
    </w:p>
    <w:p w14:paraId="1372AA30">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核查申请人提交的设备布局图和工艺流程图是否与现场一致，设备布局、工艺流程是否符合</w:t>
      </w:r>
      <w:r>
        <w:rPr>
          <w:rFonts w:hint="default" w:ascii="仿宋_GB2312" w:hAnsi="仿宋_GB2312" w:eastAsia="仿宋_GB2312" w:cs="仿宋_GB2312"/>
          <w:sz w:val="32"/>
          <w:szCs w:val="32"/>
          <w:lang w:eastAsia="zh-CN"/>
        </w:rPr>
        <w:t>所申请食品类别相关标准</w:t>
      </w:r>
      <w:r>
        <w:rPr>
          <w:rFonts w:hint="eastAsia" w:ascii="仿宋_GB2312" w:hAnsi="仿宋_GB2312" w:eastAsia="仿宋_GB2312" w:cs="仿宋_GB2312"/>
          <w:sz w:val="32"/>
          <w:szCs w:val="32"/>
          <w:lang w:eastAsia="zh-CN"/>
        </w:rPr>
        <w:t>要求，并能防止交污染。</w:t>
      </w:r>
    </w:p>
    <w:p w14:paraId="29BB889E">
      <w:pPr>
        <w:keepNext w:val="0"/>
        <w:keepLines w:val="0"/>
        <w:pageBreakBefore w:val="0"/>
        <w:widowControl w:val="0"/>
        <w:kinsoku/>
        <w:wordWrap/>
        <w:overflowPunct/>
        <w:topLinePunct w:val="0"/>
        <w:autoSpaceDE/>
        <w:autoSpaceDN/>
        <w:bidi w:val="0"/>
        <w:adjustRightInd/>
        <w:snapToGrid/>
        <w:jc w:val="left"/>
        <w:textAlignment w:val="auto"/>
        <w:rPr>
          <w:rFonts w:hint="eastAsia"/>
          <w:sz w:val="32"/>
          <w:szCs w:val="32"/>
          <w:lang w:eastAsia="zh-CN"/>
        </w:rPr>
      </w:pPr>
      <w:r>
        <w:rPr>
          <w:rFonts w:hint="eastAsia"/>
          <w:sz w:val="32"/>
          <w:szCs w:val="32"/>
          <w:lang w:eastAsia="zh-CN"/>
        </w:rPr>
        <w:drawing>
          <wp:inline distT="0" distB="0" distL="114300" distR="114300">
            <wp:extent cx="5149215" cy="3617595"/>
            <wp:effectExtent l="0" t="0" r="13335" b="1905"/>
            <wp:docPr id="4" name="图片 4" descr="工艺设备布局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工艺设备布局图11"/>
                    <pic:cNvPicPr>
                      <a:picLocks noChangeAspect="1"/>
                    </pic:cNvPicPr>
                  </pic:nvPicPr>
                  <pic:blipFill>
                    <a:blip r:embed="rId9"/>
                    <a:stretch>
                      <a:fillRect/>
                    </a:stretch>
                  </pic:blipFill>
                  <pic:spPr>
                    <a:xfrm>
                      <a:off x="0" y="0"/>
                      <a:ext cx="5149215" cy="3617595"/>
                    </a:xfrm>
                    <a:prstGeom prst="rect">
                      <a:avLst/>
                    </a:prstGeom>
                  </pic:spPr>
                </pic:pic>
              </a:graphicData>
            </a:graphic>
          </wp:inline>
        </w:drawing>
      </w:r>
    </w:p>
    <w:p w14:paraId="68AED166">
      <w:pPr>
        <w:keepNext w:val="0"/>
        <w:keepLines w:val="0"/>
        <w:pageBreakBefore w:val="0"/>
        <w:widowControl w:val="0"/>
        <w:kinsoku/>
        <w:wordWrap/>
        <w:overflowPunct/>
        <w:topLinePunct w:val="0"/>
        <w:autoSpaceDE/>
        <w:autoSpaceDN/>
        <w:bidi w:val="0"/>
        <w:adjustRightInd/>
        <w:snapToGrid/>
        <w:textAlignment w:val="auto"/>
        <w:rPr>
          <w:rFonts w:hint="eastAsia"/>
          <w:sz w:val="32"/>
          <w:szCs w:val="32"/>
          <w:lang w:eastAsia="zh-CN"/>
        </w:rPr>
      </w:pPr>
      <w:r>
        <w:rPr>
          <w:rFonts w:hint="eastAsia"/>
          <w:sz w:val="32"/>
          <w:szCs w:val="32"/>
          <w:lang w:eastAsia="zh-CN"/>
        </w:rPr>
        <w:drawing>
          <wp:inline distT="0" distB="0" distL="114300" distR="114300">
            <wp:extent cx="5163185" cy="4448810"/>
            <wp:effectExtent l="0" t="0" r="18415" b="8890"/>
            <wp:docPr id="5" name="图片 5" descr="工艺流程图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工艺流程图22"/>
                    <pic:cNvPicPr>
                      <a:picLocks noChangeAspect="1"/>
                    </pic:cNvPicPr>
                  </pic:nvPicPr>
                  <pic:blipFill>
                    <a:blip r:embed="rId10"/>
                    <a:stretch>
                      <a:fillRect/>
                    </a:stretch>
                  </pic:blipFill>
                  <pic:spPr>
                    <a:xfrm>
                      <a:off x="0" y="0"/>
                      <a:ext cx="5163185" cy="4448810"/>
                    </a:xfrm>
                    <a:prstGeom prst="rect">
                      <a:avLst/>
                    </a:prstGeom>
                  </pic:spPr>
                </pic:pic>
              </a:graphicData>
            </a:graphic>
          </wp:inline>
        </w:drawing>
      </w:r>
    </w:p>
    <w:p w14:paraId="46C61C91">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四、在人员管理方面</w:t>
      </w:r>
    </w:p>
    <w:p w14:paraId="75D76927">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核查申请人是否配备申请材料所列明的食品安全管理人员及专业技术人员；是否建立生产相关岗位的培训及从业人员健康管理制度；从事接触直接入口食品工作的食品生产人员是否取得健康证明。</w:t>
      </w:r>
    </w:p>
    <w:p w14:paraId="6BEEBAE8">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sz w:val="32"/>
          <w:szCs w:val="32"/>
          <w:lang w:eastAsia="zh-CN"/>
        </w:rPr>
      </w:pPr>
      <w:r>
        <w:rPr>
          <w:rFonts w:hint="eastAsia"/>
          <w:sz w:val="32"/>
          <w:szCs w:val="32"/>
          <w:lang w:eastAsia="zh-CN"/>
        </w:rPr>
        <w:drawing>
          <wp:inline distT="0" distB="0" distL="114300" distR="114300">
            <wp:extent cx="4354830" cy="4456430"/>
            <wp:effectExtent l="0" t="0" r="7620" b="1270"/>
            <wp:docPr id="7" name="图片 7" descr="人员培训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人员培训44"/>
                    <pic:cNvPicPr>
                      <a:picLocks noChangeAspect="1"/>
                    </pic:cNvPicPr>
                  </pic:nvPicPr>
                  <pic:blipFill>
                    <a:blip r:embed="rId11"/>
                    <a:stretch>
                      <a:fillRect/>
                    </a:stretch>
                  </pic:blipFill>
                  <pic:spPr>
                    <a:xfrm>
                      <a:off x="0" y="0"/>
                      <a:ext cx="4354830" cy="4456430"/>
                    </a:xfrm>
                    <a:prstGeom prst="rect">
                      <a:avLst/>
                    </a:prstGeom>
                  </pic:spPr>
                </pic:pic>
              </a:graphicData>
            </a:graphic>
          </wp:inline>
        </w:drawing>
      </w:r>
    </w:p>
    <w:p w14:paraId="4396107D">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五、在管理制度方面</w:t>
      </w:r>
    </w:p>
    <w:p w14:paraId="493F349B">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核查申请人的进货查验记录、生产过程控制、出厂检验记录食品安全自查、不安全食品召回、不合格品管理、食品安全事故处置及审查细则规定的其他保证食品安全的管理制度是否齐全，内容是否符合法律法规等相关规定。</w:t>
      </w:r>
    </w:p>
    <w:p w14:paraId="730009BB">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sz w:val="32"/>
          <w:szCs w:val="32"/>
          <w:lang w:eastAsia="zh-CN"/>
        </w:rPr>
      </w:pPr>
      <w:r>
        <w:rPr>
          <w:rFonts w:hint="eastAsia"/>
          <w:sz w:val="32"/>
          <w:szCs w:val="32"/>
          <w:lang w:eastAsia="zh-CN"/>
        </w:rPr>
        <w:drawing>
          <wp:inline distT="0" distB="0" distL="114300" distR="114300">
            <wp:extent cx="4587875" cy="3966845"/>
            <wp:effectExtent l="0" t="0" r="14605" b="10795"/>
            <wp:docPr id="8" name="图片 8" descr="制度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制度55"/>
                    <pic:cNvPicPr>
                      <a:picLocks noChangeAspect="1"/>
                    </pic:cNvPicPr>
                  </pic:nvPicPr>
                  <pic:blipFill>
                    <a:blip r:embed="rId12"/>
                    <a:stretch>
                      <a:fillRect/>
                    </a:stretch>
                  </pic:blipFill>
                  <pic:spPr>
                    <a:xfrm>
                      <a:off x="0" y="0"/>
                      <a:ext cx="4587875" cy="3966845"/>
                    </a:xfrm>
                    <a:prstGeom prst="rect">
                      <a:avLst/>
                    </a:prstGeom>
                  </pic:spPr>
                </pic:pic>
              </a:graphicData>
            </a:graphic>
          </wp:inline>
        </w:drawing>
      </w:r>
    </w:p>
    <w:p w14:paraId="64467D6B">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六、在试制产品检验合格报告方面</w:t>
      </w:r>
    </w:p>
    <w:p w14:paraId="054F13AE">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现场核查时，核查组可以根据食品生产工艺流程等要求，按申请人生产食品所执行的食品安全标准和产品标准核查试制食品检验合格报告。试制产品检验合格报告可以由申请人自行检验，或者委托有资质的食品检验机构出具。试制产品检验报告的具体要求按审查细则的有关规定执行。</w:t>
      </w:r>
    </w:p>
    <w:p w14:paraId="21321D2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sz w:val="32"/>
          <w:szCs w:val="32"/>
          <w:lang w:eastAsia="zh-CN"/>
        </w:rPr>
      </w:pPr>
      <w:r>
        <w:rPr>
          <w:rFonts w:hint="eastAsia"/>
          <w:sz w:val="32"/>
          <w:szCs w:val="32"/>
          <w:lang w:eastAsia="zh-CN"/>
        </w:rPr>
        <w:drawing>
          <wp:inline distT="0" distB="0" distL="114300" distR="114300">
            <wp:extent cx="4514215" cy="3590290"/>
            <wp:effectExtent l="0" t="0" r="12065" b="6350"/>
            <wp:docPr id="9" name="图片 9" descr="检验报告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检验报告66"/>
                    <pic:cNvPicPr>
                      <a:picLocks noChangeAspect="1"/>
                    </pic:cNvPicPr>
                  </pic:nvPicPr>
                  <pic:blipFill>
                    <a:blip r:embed="rId13"/>
                    <a:stretch>
                      <a:fillRect/>
                    </a:stretch>
                  </pic:blipFill>
                  <pic:spPr>
                    <a:xfrm>
                      <a:off x="0" y="0"/>
                      <a:ext cx="4514215" cy="3590290"/>
                    </a:xfrm>
                    <a:prstGeom prst="rect">
                      <a:avLst/>
                    </a:prstGeom>
                  </pic:spPr>
                </pic:pic>
              </a:graphicData>
            </a:graphic>
          </wp:inline>
        </w:drawing>
      </w:r>
    </w:p>
    <w:p w14:paraId="3CCA23E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注：审查细则对现场核查相关内容进行细化或者有补充要求的，应当一并核查，并在《食品、食品添加剂生产许可现场核查评分记录表》中记录。</w:t>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_GBK">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方正黑体_GBK">
    <w:altName w:val="微软雅黑"/>
    <w:panose1 w:val="02000000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F5902">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08A51D50">
                          <w:pPr>
                            <w:pStyle w:val="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z w:val="21"/>
                              <w:szCs w:val="21"/>
                            </w:rPr>
                            <w:fldChar w:fldCharType="begin"/>
                          </w:r>
                          <w:r>
                            <w:rPr>
                              <w:rFonts w:hint="eastAsia" w:asciiTheme="minorEastAsia" w:hAnsiTheme="minorEastAsia" w:eastAsiaTheme="minorEastAsia" w:cstheme="minorEastAsia"/>
                              <w:sz w:val="21"/>
                              <w:szCs w:val="21"/>
                            </w:rPr>
                            <w:instrText xml:space="preserve"> PAGE  \* MERGEFORMAT </w:instrText>
                          </w:r>
                          <w:r>
                            <w:rPr>
                              <w:rFonts w:hint="eastAsia" w:asciiTheme="minorEastAsia" w:hAnsiTheme="minorEastAsia" w:eastAsiaTheme="minorEastAsia" w:cstheme="minorEastAsia"/>
                              <w:sz w:val="21"/>
                              <w:szCs w:val="21"/>
                            </w:rPr>
                            <w:fldChar w:fldCharType="separate"/>
                          </w: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rPr>
                            <w:fldChar w:fldCharType="end"/>
                          </w:r>
                          <w:r>
                            <w:rPr>
                              <w:rFonts w:hint="eastAsia" w:asciiTheme="minorEastAsia" w:hAnsiTheme="minorEastAsia" w:eastAsiaTheme="minorEastAsia" w:cstheme="minorEastAsia"/>
                              <w:sz w:val="21"/>
                              <w:szCs w:val="21"/>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OH7cf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E4ftx90CAAAmBgAADgAAAAAAAAABACAAAAAfAQAAZHJzL2Uyb0RvYy54bWxQSwUG&#10;AAAAAAYABgBZAQAAbgYAAAAA&#10;">
              <v:fill on="f" focussize="0,0"/>
              <v:stroke on="f" weight="0.5pt"/>
              <v:imagedata o:title=""/>
              <o:lock v:ext="edit" aspectratio="f"/>
              <v:textbox inset="0mm,0mm,0mm,0mm" style="mso-fit-shape-to-text:t;">
                <w:txbxContent>
                  <w:p w14:paraId="08A51D50">
                    <w:pPr>
                      <w:pStyle w:val="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z w:val="21"/>
                        <w:szCs w:val="21"/>
                      </w:rPr>
                      <w:fldChar w:fldCharType="begin"/>
                    </w:r>
                    <w:r>
                      <w:rPr>
                        <w:rFonts w:hint="eastAsia" w:asciiTheme="minorEastAsia" w:hAnsiTheme="minorEastAsia" w:eastAsiaTheme="minorEastAsia" w:cstheme="minorEastAsia"/>
                        <w:sz w:val="21"/>
                        <w:szCs w:val="21"/>
                      </w:rPr>
                      <w:instrText xml:space="preserve"> PAGE  \* MERGEFORMAT </w:instrText>
                    </w:r>
                    <w:r>
                      <w:rPr>
                        <w:rFonts w:hint="eastAsia" w:asciiTheme="minorEastAsia" w:hAnsiTheme="minorEastAsia" w:eastAsiaTheme="minorEastAsia" w:cstheme="minorEastAsia"/>
                        <w:sz w:val="21"/>
                        <w:szCs w:val="21"/>
                      </w:rPr>
                      <w:fldChar w:fldCharType="separate"/>
                    </w: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rPr>
                      <w:fldChar w:fldCharType="end"/>
                    </w:r>
                    <w:r>
                      <w:rPr>
                        <w:rFonts w:hint="eastAsia" w:asciiTheme="minorEastAsia" w:hAnsiTheme="minorEastAsia" w:eastAsiaTheme="minorEastAsia" w:cstheme="minorEastAsia"/>
                        <w:sz w:val="21"/>
                        <w:szCs w:val="21"/>
                      </w:rPr>
                      <w:t xml:space="preserve"> —</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9FA2E20"/>
    <w:rsid w:val="012404FB"/>
    <w:rsid w:val="29236308"/>
    <w:rsid w:val="37750960"/>
    <w:rsid w:val="39FA2E20"/>
    <w:rsid w:val="3E1F71CF"/>
    <w:rsid w:val="4BA78F70"/>
    <w:rsid w:val="59E11DF0"/>
    <w:rsid w:val="7DBFBB63"/>
    <w:rsid w:val="F7E24122"/>
    <w:rsid w:val="FDFF7C2D"/>
    <w:rsid w:val="FEAFE8C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Pages>
  <Words>867</Words>
  <Characters>870</Characters>
  <Lines>0</Lines>
  <Paragraphs>0</Paragraphs>
  <TotalTime>3</TotalTime>
  <ScaleCrop>false</ScaleCrop>
  <LinksUpToDate>false</LinksUpToDate>
  <CharactersWithSpaces>870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2025-01-25T22:35:00Z</dcterms:created>
  <dc:creator>颜世宇seeU</dc:creator>
  <cp:lastModifiedBy>青子</cp:lastModifiedBy>
  <cp:lastPrinted>2025-02-28T01:53:59Z</cp:lastPrinted>
  <dcterms:modified xsi:type="dcterms:W3CDTF">2025-02-28T01:55:43Z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50403A687F7243C49B7145D0EF961E59_11</vt:lpwstr>
  </property>
  <property fmtid="{D5CDD505-2E9C-101B-9397-08002B2CF9AE}" pid="4" name="KSOTemplateDocerSaveRecord">
    <vt:lpwstr>eyJoZGlkIjoiYjUzYWYzNDc2YTIzZjc4ZWI5YzA3ZmEwZGQzOTFkOTkiLCJ1c2VySWQiOiI1NDMzMTk4NTcifQ==</vt:lpwstr>
  </property>
</Properties>
</file>